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Bảo hiểm</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Insurance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FIB348</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trang bị cho người học các kiến thức cơ bản về bản chất, vai trò, chức năng của hoạt động bảo hiểm; kiến thức và kỹ năng về cách thức tổ chức, quản lý hoạt động của bảo hiểm xã hội, bảo hiểm y tế, bảo hiểm thất nghiệp. Bên cạnh đó, học phần còn cung cấp các kiến thức nền tảng trong  hoạt động kinh doanh bảo hiểm thương mại như quá trình hình thành, cách thức phân loại hoạt động bảo hiểm thương mại cũng như những vấn đề cơ bản về hợp đồng bảo hiểm thương mại.</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Bảo hiểm là môn học dành cho sinh viên chuyên ngành Tài chính Ngân hàng, học phần Bảo hiểm giúp cho sinh viên nắm bắt được về bản về bản chất, vai trò, chức năng của hoạt động bảo hiểm; học phần còn giúp sinh viên tiếp cận được với các kiến thức và kỹ năng về cách thức tổ chức, quản lý hoạt động của bảo hiểm xã hội, bảo hiểm y tế, bảo hiểm thất nghiệp và bảo hiểm thương mại về mặt lý luận cũng như vận dụng vào hoạt động thực tế. Sau khi ra trường, với những kiến thức được cung cấp từ học phần Bảo hiểm sinh viên có thể vận dụng vào hoạt động bảo hiểm trong thực tiễn.</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các quy định của pháp luật về bảo hiểm để xác định các quyền lợi bảo hiểm trong từng loại hình bảo hiểm cụ thể.</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mối liên hệ giữa các qui định của luật bảo hiểm hiện nay trong đời sống kinh tế xã hội.</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Có ý</w:t>
      </w:r>
      <w:r w:rsidRPr="00FA254E">
        <w:rPr>
          <w:noProof/>
          <w:sz w:val="24"/>
          <w:szCs w:val="24"/>
        </w:rPr>
        <w:t xml:space="preserve"> thức tuân thủ phát luật bảo hiểm hiện hành trong đời sống cũng như hoạt động sản xuất kinh doanh.</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Cho ý</w:t>
      </w:r>
      <w:r w:rsidRPr="00FA254E">
        <w:rPr>
          <w:noProof/>
          <w:sz w:val="24"/>
          <w:szCs w:val="24"/>
        </w:rPr>
        <w:t xml:space="preserve"> kiến phản biện hoặc bình luận về một vấn đề về hoạt động bảo hiểm trong thực tế.</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Ma trận</w:t>
      </w:r>
      <w:r w:rsidRPr="00FA254E">
        <w:rPr>
          <w:noProof/>
          <w:sz w:val="24"/>
          <w:szCs w:val="24"/>
        </w:rPr>
        <w:t xml:space="preserve"> tương thích giữa Chuẩn đầu ra học phần với Chuẩn đầu ra CTĐT:</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002655A9" w:rsidRPr="00FA254E" w:rsidP="00084EF9">
            <w:pPr>
              <w:spacing w:before="40" w:after="40"/>
              <w:rPr>
                <w:color w:val="000000"/>
                <w:sz w:val="24"/>
                <w:szCs w:val="24"/>
              </w:rPr>
            </w:pPr>
            <w:r w:rsidRPr="00FA254E">
              <w:rPr>
                <w:noProof/>
                <w:sz w:val="24"/>
                <w:szCs w:val="24"/>
              </w:rPr>
              <w:t>1.4</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 TOC</w:t>
            </w:r>
            <w:r w:rsidRPr="00FA254E">
              <w:rPr>
                <w:noProof/>
                <w:sz w:val="24"/>
                <w:szCs w:val="24"/>
              </w:rPr>
              <w:t xml:space="preserve"> \o "1-5" \u  TỔNG QUAN VỀ BẢO HIỂM</w:t>
            </w:r>
          </w:p>
          <w:p w:rsidRPr="00FA254E" w:rsidP="004D1122">
            <w:pPr>
              <w:spacing w:before="40" w:after="40"/>
              <w:rPr>
                <w:sz w:val="24"/>
                <w:szCs w:val="24"/>
              </w:rPr>
            </w:pPr>
            <w:r w:rsidRPr="00FA254E">
              <w:rPr>
                <w:noProof/>
                <w:sz w:val="24"/>
                <w:szCs w:val="24"/>
              </w:rPr>
              <w:t>Sự cần thiết khách quan và vai trò của bảo hiểm</w:t>
            </w:r>
          </w:p>
          <w:p w:rsidRPr="00FA254E" w:rsidP="004D1122">
            <w:pPr>
              <w:spacing w:before="40" w:after="40"/>
              <w:rPr>
                <w:sz w:val="24"/>
                <w:szCs w:val="24"/>
              </w:rPr>
            </w:pPr>
            <w:r w:rsidRPr="00FA254E">
              <w:rPr>
                <w:noProof/>
                <w:sz w:val="24"/>
                <w:szCs w:val="24"/>
              </w:rPr>
              <w:t>Vai trò của bảo hiểm</w:t>
            </w:r>
          </w:p>
          <w:p w:rsidRPr="00FA254E" w:rsidP="004D1122">
            <w:pPr>
              <w:spacing w:before="40" w:after="40"/>
              <w:rPr>
                <w:sz w:val="24"/>
                <w:szCs w:val="24"/>
              </w:rPr>
            </w:pPr>
            <w:r w:rsidRPr="00FA254E">
              <w:rPr>
                <w:noProof/>
                <w:sz w:val="24"/>
                <w:szCs w:val="24"/>
              </w:rPr>
              <w:t>Khái niệm và bản chất của bảo hiểm</w:t>
            </w:r>
          </w:p>
          <w:p w:rsidR="002655A9" w:rsidRPr="00FA254E" w:rsidP="004D1122">
            <w:pPr>
              <w:spacing w:before="40" w:after="40"/>
              <w:rPr>
                <w:color w:val="000000"/>
                <w:sz w:val="24"/>
                <w:szCs w:val="24"/>
              </w:rPr>
            </w:pPr>
            <w:r w:rsidRPr="00FA254E">
              <w:rPr>
                <w:noProof/>
                <w:sz w:val="24"/>
                <w:szCs w:val="24"/>
              </w:rPr>
              <w:t>Các nguyên tắc trong bảo hiểm</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Pr="00FA254E" w:rsidP="00084EF9">
            <w:pPr>
              <w:spacing w:before="40" w:after="40"/>
              <w:rPr>
                <w:sz w:val="24"/>
                <w:szCs w:val="24"/>
              </w:rPr>
            </w:pPr>
            <w:r w:rsidRPr="00FA254E">
              <w:rPr>
                <w:noProof/>
                <w:sz w:val="24"/>
                <w:szCs w:val="24"/>
              </w:rPr>
              <w:t>2.5</w:t>
            </w:r>
          </w:p>
          <w:p w:rsidR="002655A9" w:rsidRPr="00FA254E" w:rsidP="00084EF9">
            <w:pPr>
              <w:spacing w:before="40" w:after="40"/>
              <w:rPr>
                <w:color w:val="000000"/>
                <w:sz w:val="24"/>
                <w:szCs w:val="24"/>
              </w:rPr>
            </w:pPr>
            <w:r w:rsidRPr="00FA254E">
              <w:rPr>
                <w:noProof/>
                <w:sz w:val="24"/>
                <w:szCs w:val="24"/>
              </w:rPr>
              <w:t>2.6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BẢO HIỂM</w:t>
            </w:r>
            <w:r w:rsidRPr="00FA254E">
              <w:rPr>
                <w:noProof/>
                <w:sz w:val="24"/>
                <w:szCs w:val="24"/>
              </w:rPr>
              <w:t xml:space="preserve"> XÃ HỘI</w:t>
            </w:r>
          </w:p>
          <w:p w:rsidRPr="00FA254E" w:rsidP="004D1122">
            <w:pPr>
              <w:spacing w:before="40" w:after="40"/>
              <w:rPr>
                <w:sz w:val="24"/>
                <w:szCs w:val="24"/>
              </w:rPr>
            </w:pPr>
            <w:r w:rsidRPr="00FA254E">
              <w:rPr>
                <w:noProof/>
                <w:sz w:val="24"/>
                <w:szCs w:val="24"/>
              </w:rPr>
              <w:t>Bản chất và đặc điểm của bảo hiểm xã hội (BHXH)</w:t>
            </w:r>
          </w:p>
          <w:p w:rsidRPr="00FA254E" w:rsidP="004D1122">
            <w:pPr>
              <w:spacing w:before="40" w:after="40"/>
              <w:rPr>
                <w:sz w:val="24"/>
                <w:szCs w:val="24"/>
              </w:rPr>
            </w:pPr>
            <w:r w:rsidRPr="00FA254E">
              <w:rPr>
                <w:noProof/>
                <w:sz w:val="24"/>
                <w:szCs w:val="24"/>
              </w:rPr>
              <w:t>Đối tượng và đối tượng tham gia BHXH</w:t>
            </w:r>
          </w:p>
          <w:p w:rsidRPr="00FA254E" w:rsidP="004D1122">
            <w:pPr>
              <w:spacing w:before="40" w:after="40"/>
              <w:rPr>
                <w:sz w:val="24"/>
                <w:szCs w:val="24"/>
              </w:rPr>
            </w:pPr>
            <w:r w:rsidRPr="00FA254E">
              <w:rPr>
                <w:noProof/>
                <w:sz w:val="24"/>
                <w:szCs w:val="24"/>
              </w:rPr>
              <w:t>Hệ thống các chế độ BHXH</w:t>
            </w:r>
          </w:p>
          <w:p w:rsidRPr="00FA254E" w:rsidP="004D1122">
            <w:pPr>
              <w:spacing w:before="40" w:after="40"/>
              <w:rPr>
                <w:sz w:val="24"/>
                <w:szCs w:val="24"/>
              </w:rPr>
            </w:pPr>
            <w:r w:rsidRPr="00FA254E">
              <w:rPr>
                <w:noProof/>
                <w:sz w:val="24"/>
                <w:szCs w:val="24"/>
              </w:rPr>
              <w:t>Bảo hiểm Y tế</w:t>
            </w:r>
          </w:p>
          <w:p w:rsidR="002655A9" w:rsidRPr="00FA254E" w:rsidP="004D1122">
            <w:pPr>
              <w:spacing w:before="40" w:after="40"/>
              <w:rPr>
                <w:color w:val="000000"/>
                <w:sz w:val="24"/>
                <w:szCs w:val="24"/>
              </w:rPr>
            </w:pPr>
            <w:r w:rsidRPr="00FA254E">
              <w:rPr>
                <w:noProof/>
                <w:sz w:val="24"/>
                <w:szCs w:val="24"/>
              </w:rPr>
              <w:t>Bảo hiểm thất nghiệp</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Pr="00FA254E" w:rsidP="00084EF9">
            <w:pPr>
              <w:spacing w:before="40" w:after="40"/>
              <w:rPr>
                <w:sz w:val="24"/>
                <w:szCs w:val="24"/>
              </w:rPr>
            </w:pPr>
            <w:r w:rsidRPr="00FA254E">
              <w:rPr>
                <w:noProof/>
                <w:sz w:val="24"/>
                <w:szCs w:val="24"/>
              </w:rPr>
              <w:t>3.3</w:t>
            </w:r>
          </w:p>
          <w:p w:rsidR="002655A9" w:rsidRPr="00FA254E" w:rsidP="00084EF9">
            <w:pPr>
              <w:spacing w:before="40" w:after="40"/>
              <w:rPr>
                <w:color w:val="000000"/>
                <w:sz w:val="24"/>
                <w:szCs w:val="24"/>
              </w:rPr>
            </w:pPr>
            <w:r w:rsidRPr="00FA254E">
              <w:rPr>
                <w:noProof/>
                <w:sz w:val="24"/>
                <w:szCs w:val="24"/>
              </w:rPr>
              <w:t>3.4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BẢO HIỂM</w:t>
            </w:r>
            <w:r w:rsidRPr="00FA254E">
              <w:rPr>
                <w:noProof/>
                <w:sz w:val="24"/>
                <w:szCs w:val="24"/>
              </w:rPr>
              <w:t xml:space="preserve"> THƯƠNG MẠI</w:t>
            </w:r>
          </w:p>
          <w:p w:rsidRPr="00FA254E" w:rsidP="004D1122">
            <w:pPr>
              <w:spacing w:before="40" w:after="40"/>
              <w:rPr>
                <w:sz w:val="24"/>
                <w:szCs w:val="24"/>
              </w:rPr>
            </w:pPr>
            <w:r w:rsidRPr="00FA254E">
              <w:rPr>
                <w:noProof/>
                <w:sz w:val="24"/>
                <w:szCs w:val="24"/>
              </w:rPr>
              <w:t>Quan niệm về bảo hiểm thương mại (BHTM)</w:t>
            </w:r>
          </w:p>
          <w:p w:rsidRPr="00FA254E" w:rsidP="004D1122">
            <w:pPr>
              <w:spacing w:before="40" w:after="40"/>
              <w:rPr>
                <w:sz w:val="24"/>
                <w:szCs w:val="24"/>
              </w:rPr>
            </w:pPr>
            <w:r w:rsidRPr="00FA254E">
              <w:rPr>
                <w:noProof/>
                <w:sz w:val="24"/>
                <w:szCs w:val="24"/>
              </w:rPr>
              <w:t>Phân loại BHTM</w:t>
            </w:r>
          </w:p>
          <w:p w:rsidRPr="00FA254E" w:rsidP="004D1122">
            <w:pPr>
              <w:spacing w:before="40" w:after="40"/>
              <w:rPr>
                <w:sz w:val="24"/>
                <w:szCs w:val="24"/>
              </w:rPr>
            </w:pPr>
            <w:r w:rsidRPr="00FA254E">
              <w:rPr>
                <w:noProof/>
                <w:sz w:val="24"/>
                <w:szCs w:val="24"/>
              </w:rPr>
              <w:t>Hợp đồng BHTM</w:t>
            </w:r>
          </w:p>
          <w:p w:rsidR="002655A9" w:rsidRPr="00FA254E" w:rsidP="004D1122">
            <w:pPr>
              <w:spacing w:before="40" w:after="40"/>
              <w:rPr>
                <w:color w:val="000000"/>
                <w:sz w:val="24"/>
                <w:szCs w:val="24"/>
              </w:rPr>
            </w:pPr>
            <w:r w:rsidRPr="00FA254E">
              <w:rPr>
                <w:noProof/>
                <w:sz w:val="24"/>
                <w:szCs w:val="24"/>
              </w:rPr>
              <w:t>Đồng bảo hiểm, Tái bảo hiểm</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xml:space="preserve"> (Lecture)</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 (Group-based learning)</w:t>
            </w:r>
          </w:p>
        </w:tc>
        <w:tc>
          <w:tcPr>
            <w:tcW w:w="2127" w:type="dxa"/>
            <w:vAlign w:val="center"/>
          </w:tcPr>
          <w:p w:rsidR="00190B75" w:rsidRPr="00FA254E" w:rsidP="00190B75" w14:textId="1F32AB3D">
            <w:pPr>
              <w:spacing w:before="40" w:after="40"/>
              <w:jc w:val="center"/>
              <w:rPr>
                <w:sz w:val="24"/>
                <w:szCs w:val="24"/>
              </w:rPr>
            </w:pPr>
            <w:r>
              <w:rPr>
                <w:noProof/>
                <w:sz w:val="24"/>
                <w:szCs w:val="24"/>
              </w:rPr>
              <w:t>2, 3</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c,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Sử dụng</w:t>
            </w:r>
            <w:r w:rsidRPr="00FA254E">
              <w:rPr>
                <w:noProof/>
                <w:sz w:val="24"/>
                <w:szCs w:val="24"/>
              </w:rPr>
              <w:t xml:space="preserve"> phim tư liệu trong giảng dạy (Teaching with videos)</w:t>
            </w:r>
          </w:p>
        </w:tc>
        <w:tc>
          <w:tcPr>
            <w:tcW w:w="2127" w:type="dxa"/>
            <w:vAlign w:val="center"/>
          </w:tcPr>
          <w:p w:rsidR="00190B75" w:rsidRPr="00FA254E" w:rsidP="00190B75" w14:textId="1F32AB3D">
            <w:pPr>
              <w:spacing w:before="40" w:after="40"/>
              <w:jc w:val="center"/>
              <w:rPr>
                <w:sz w:val="24"/>
                <w:szCs w:val="24"/>
              </w:rPr>
            </w:pPr>
            <w:r>
              <w:rPr>
                <w:noProof/>
                <w:sz w:val="24"/>
                <w:szCs w:val="24"/>
              </w:rPr>
              <w:t>2, 3</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b, c</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Giảng dạy</w:t>
            </w:r>
            <w:r w:rsidRPr="00FA254E">
              <w:rPr>
                <w:noProof/>
                <w:sz w:val="24"/>
                <w:szCs w:val="24"/>
              </w:rPr>
              <w:t xml:space="preserve"> thông qua thảo luận (Teaching through discussion)</w:t>
            </w:r>
          </w:p>
        </w:tc>
        <w:tc>
          <w:tcPr>
            <w:tcW w:w="2127" w:type="dxa"/>
            <w:vAlign w:val="center"/>
          </w:tcPr>
          <w:p w:rsidR="00190B75" w:rsidRPr="00FA254E" w:rsidP="00190B75" w14:textId="1F32AB3D">
            <w:pPr>
              <w:spacing w:before="40" w:after="40"/>
              <w:jc w:val="center"/>
              <w:rPr>
                <w:sz w:val="24"/>
                <w:szCs w:val="24"/>
              </w:rPr>
            </w:pPr>
            <w:r>
              <w:rPr>
                <w:noProof/>
                <w:sz w:val="24"/>
                <w:szCs w:val="24"/>
              </w:rPr>
              <w:t>2, 3</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b, c,</w:t>
            </w:r>
            <w:r>
              <w:rPr>
                <w:noProof/>
                <w:sz w:val="24"/>
                <w:szCs w:val="24"/>
              </w:rPr>
              <w:t xml:space="preserve"> d</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b, c,</w:t>
            </w:r>
            <w:r>
              <w:rPr>
                <w:noProof/>
                <w:sz w:val="24"/>
                <w:szCs w:val="24"/>
              </w:rPr>
              <w:t xml:space="preserve">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0</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PGS.TS</w:t>
            </w:r>
            <w:r w:rsidRPr="00FA254E">
              <w:rPr>
                <w:noProof/>
                <w:sz w:val="24"/>
                <w:szCs w:val="24"/>
              </w:rPr>
              <w:t xml:space="preserve"> Đặng Văn Dân</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Giáo trình</w:t>
            </w:r>
            <w:r w:rsidRPr="00FA254E">
              <w:rPr>
                <w:noProof/>
                <w:sz w:val="24"/>
                <w:szCs w:val="24"/>
              </w:rPr>
              <w:t xml:space="preserve"> bảo hiểm</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2018</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Tài chính</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p>
        </w:tc>
        <w:tc>
          <w:tcPr>
            <w:tcW w:w="817" w:type="dxa"/>
            <w:vAlign w:val="center"/>
          </w:tcPr>
          <w:p w:rsidR="003D6B9E" w:rsidRPr="00FA254E" w:rsidP="004C26B6" w14:paraId="7AA73738"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PGS.TS</w:t>
            </w:r>
            <w:r w:rsidRPr="00FA254E">
              <w:rPr>
                <w:noProof/>
                <w:sz w:val="24"/>
                <w:szCs w:val="24"/>
              </w:rPr>
              <w:t xml:space="preserve"> Nguyễn Văn Định</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bảo hiểm</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2012</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Đại học</w:t>
            </w:r>
            <w:r w:rsidRPr="00FA254E">
              <w:rPr>
                <w:noProof/>
                <w:sz w:val="24"/>
                <w:szCs w:val="24"/>
              </w:rPr>
              <w:t xml:space="preserve"> kinh tế quốc dân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PGS.TSKH</w:t>
            </w:r>
            <w:r w:rsidRPr="00FA254E">
              <w:rPr>
                <w:noProof/>
                <w:sz w:val="24"/>
                <w:szCs w:val="24"/>
              </w:rPr>
              <w:t xml:space="preserve"> Trương Mộc Lâm</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nghiệp vụ bảo hiểm</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2006</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Học viện</w:t>
            </w:r>
            <w:r w:rsidRPr="00FA254E">
              <w:rPr>
                <w:noProof/>
                <w:sz w:val="24"/>
                <w:szCs w:val="24"/>
              </w:rPr>
              <w:t xml:space="preserve"> tài chính</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Luật BHXH</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2014</w:t>
            </w:r>
          </w:p>
        </w:tc>
        <w:tc>
          <w:tcPr>
            <w:tcW w:w="1230" w:type="dxa"/>
            <w:vAlign w:val="center"/>
          </w:tcPr>
          <w:p w:rsidR="003D6B9E" w:rsidRPr="00FA254E" w:rsidP="003D6B9E" w14:textId="64076F77">
            <w:pPr>
              <w:spacing w:before="40" w:after="40"/>
              <w:jc w:val="both"/>
              <w:rPr>
                <w:sz w:val="24"/>
                <w:szCs w:val="24"/>
              </w:rPr>
            </w:pP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Luật kinh</w:t>
            </w:r>
            <w:r w:rsidRPr="00FA254E">
              <w:rPr>
                <w:noProof/>
                <w:sz w:val="24"/>
                <w:szCs w:val="24"/>
              </w:rPr>
              <w:t xml:space="preserve"> doanh bảo hiểm số Số: 24/2000/QH10</w:t>
            </w:r>
          </w:p>
          <w:p w:rsidR="003D6B9E" w:rsidRPr="00FA254E" w:rsidP="003D6B9E">
            <w:pPr>
              <w:spacing w:before="40" w:after="40"/>
              <w:jc w:val="both"/>
              <w:rPr>
                <w:sz w:val="24"/>
                <w:szCs w:val="24"/>
              </w:rPr>
            </w:pPr>
            <w:r w:rsidRPr="00FA254E">
              <w:rPr>
                <w:noProof/>
                <w:sz w:val="24"/>
                <w:szCs w:val="24"/>
              </w:rPr>
              <w:t>Và Luật kinh doanh bảo hiểm số Số: 61/2010/QH12</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textId="64076F77">
            <w:pPr>
              <w:spacing w:before="40" w:after="40"/>
              <w:jc w:val="both"/>
              <w:rPr>
                <w:sz w:val="24"/>
                <w:szCs w:val="24"/>
              </w:rPr>
            </w:pPr>
          </w:p>
        </w:tc>
        <w:tc>
          <w:tcPr>
            <w:tcW w:w="1276" w:type="dxa"/>
            <w:vAlign w:val="center"/>
          </w:tcPr>
          <w:p w:rsidR="003D6B9E" w:rsidRPr="00FA254E" w:rsidP="003D6B9E" w14:textId="4028709F">
            <w:pPr>
              <w:spacing w:before="40" w:after="40"/>
              <w:jc w:val="center"/>
              <w:rPr>
                <w:sz w:val="24"/>
                <w:szCs w:val="24"/>
              </w:rPr>
            </w:pP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Hoàng Văn</w:t>
      </w:r>
      <w:r>
        <w:rPr>
          <w:b/>
          <w:bCs/>
          <w:noProof/>
          <w:sz w:val="24"/>
          <w:szCs w:val="24"/>
        </w:rPr>
        <w:t xml:space="preserve"> Tuấn</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